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عرض سعر صيانة سيارات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العرض: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 وجواله: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السيارة والموديل: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اللوحة: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قراءة العداد (كم):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صالح حتى: 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قطعة / مصنعية</w:t>
            </w:r>
          </w:p>
        </w:tc>
        <w:tc>
          <w:tcPr>
            <w:tcW w:type="pct" w:w="12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68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قطع الغيار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المصنعية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 (للمنشأة المسجّلة)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المستحق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نوع القطع (وكالة / تجاري / مستعمل):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ضمان الإصلاح: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موافقة العميل وتوقيعه: ______________</w:t>
      </w:r>
    </w:p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صيانة سيارات</dc:title>
  <dc:creator>مهنة — mehnna.com</dc:creator>
  <cp:lastModifiedBy>Un-named</cp:lastModifiedBy>
  <cp:revision>1</cp:revision>
  <dcterms:created xsi:type="dcterms:W3CDTF">2026-10-10T22:39:54.703Z</dcterms:created>
  <dcterms:modified xsi:type="dcterms:W3CDTF">2026-10-10T22:39:54.703Z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