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عرض سعر صيانة مكيفات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العرض: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 وجواله: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موقع العمل: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صالح حتى: 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نوع الوحدة</w:t>
            </w:r>
          </w:p>
        </w:tc>
        <w:tc>
          <w:tcPr>
            <w:tcW w:type="pct" w:w="12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العدد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68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 (إن كانت المنشأة مسجّلة)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المستحق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نوع الفريون وكميته (إن وُجد بند فريون):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ضمان العمل: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موافقة العميل وتوقيعه: ______________</w:t>
      </w:r>
    </w:p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صيانة مكيفات</dc:title>
  <dc:creator>مهنة — mehnna.com</dc:creator>
  <cp:lastModifiedBy>Un-named</cp:lastModifiedBy>
  <cp:revision>1</cp:revision>
  <dcterms:created xsi:type="dcterms:W3CDTF">2026-10-20T20:10:22.683Z</dcterms:created>
  <dcterms:modified xsi:type="dcterms:W3CDTF">2026-10-20T20:10:22.683Z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